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C2" w:rsidRPr="00D646C2" w:rsidRDefault="00D646C2" w:rsidP="00D646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170815</wp:posOffset>
            </wp:positionV>
            <wp:extent cx="2381885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421" y="21383"/>
                <wp:lineTo x="21421" y="0"/>
                <wp:lineTo x="0" y="0"/>
              </wp:wrapPolygon>
            </wp:wrapThrough>
            <wp:docPr id="12" name="Рисунок 12" descr="http://r-gymnastics.com/sites/default/files/imagecache/inteaser/kak_uhagivat_za_predmet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-gymnastics.com/sites/default/files/imagecache/inteaser/kak_uhagivat_za_predmetam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Правильный уход за любым из предметов, который спортсменки используют во время выступлений в соревнованиях по </w:t>
      </w:r>
      <w:hyperlink r:id="rId5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художественной гимнастике</w:t>
        </w:r>
      </w:hyperlink>
      <w:r w:rsidRPr="00D646C2">
        <w:rPr>
          <w:rFonts w:ascii="Arial" w:eastAsia="Times New Roman" w:hAnsi="Arial" w:cs="Arial"/>
          <w:sz w:val="24"/>
          <w:szCs w:val="24"/>
          <w:lang w:eastAsia="ru-RU"/>
        </w:rPr>
        <w:t>, гарантирует возможность длительной эксплуатации, ведь большинство предметов стоят довольно дорого, и далеко не каждая гимнастка может позволить себе менять их постоянно.</w:t>
      </w:r>
      <w:bookmarkStart w:id="0" w:name="_GoBack"/>
      <w:bookmarkEnd w:id="0"/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Скакалка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E34F4B" wp14:editId="70659914">
            <wp:simplePos x="0" y="0"/>
            <wp:positionH relativeFrom="page">
              <wp:align>right</wp:align>
            </wp:positionH>
            <wp:positionV relativeFrom="paragraph">
              <wp:posOffset>1209645</wp:posOffset>
            </wp:positionV>
            <wp:extent cx="1424940" cy="1148080"/>
            <wp:effectExtent l="0" t="0" r="3810" b="0"/>
            <wp:wrapThrough wrapText="bothSides">
              <wp:wrapPolygon edited="0">
                <wp:start x="0" y="0"/>
                <wp:lineTo x="0" y="21146"/>
                <wp:lineTo x="21369" y="21146"/>
                <wp:lineTo x="21369" y="0"/>
                <wp:lineTo x="0" y="0"/>
              </wp:wrapPolygon>
            </wp:wrapThrough>
            <wp:docPr id="10" name="Рисунок 10" descr="http://r-gymnastics.com/sites/default/files/1/2012/11/25/oplavleniy_uzel_skaka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-gymnastics.com/sites/default/files/1/2012/11/25/oplavleniy_uzel_skakal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46F353" wp14:editId="63F194E3">
            <wp:simplePos x="0" y="0"/>
            <wp:positionH relativeFrom="column">
              <wp:posOffset>-3234</wp:posOffset>
            </wp:positionH>
            <wp:positionV relativeFrom="paragraph">
              <wp:posOffset>2274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" name="Рисунок 11" descr="http://r-gymnastics.com/sites/default/files/1/2012/11/25/skak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-gymnastics.com/sites/default/files/1/2012/11/25/skaka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Сегодня чаще всего </w:t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скакалки 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изготавливают из натуральной пеньки или синтетических материалов. Скакалку подгоняют индивидуально под рост спортсменки ― для этого достаточно встать на центр скакалки и сделать на ней отметки таким образом, чтобы будущие концы предмета (не забываем сделать запас на узлы) доставали до подмышек гимнастки. Только после этого </w:t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скакалка для художественной гимнастики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может подрезаться на одинаковое расстояние с обеих сторон, затем на концах завязываются и закрепляются узлы. 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Чтобы нитки обрезанных торцов скакалки со временем не распускались, торцы можно немного припалить зажигалкой до легкого затвердения. Главное не переусердствовать, потому что в случае слишком твердых опаленных торцов, они могут натирать ладони гимнастки.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Изделие из синтетических волокон (как правило, используется нейлон) обычно дольше сохраняет свой первоначальный вид – его можно, при необходимости, подвергать ручной и машинной стирке со средствами для стирки деликатных волокон. Скакалка из натуральных волокон после стирки для тренировок и выступлений не годится – изделие теряет свой первоначальный вид и цвет.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Обруч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-3234</wp:posOffset>
            </wp:positionH>
            <wp:positionV relativeFrom="paragraph">
              <wp:posOffset>-3293</wp:posOffset>
            </wp:positionV>
            <wp:extent cx="1616075" cy="1616075"/>
            <wp:effectExtent l="0" t="0" r="3175" b="3175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9" name="Рисунок 9" descr="http://r-gymnastics.com/sites/default/files/1/2012/11/25/obr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-gymnastics.com/sites/default/files/1/2012/11/25/obru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Сегодня </w:t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обручи для художественной гимнастики 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могут изготавливать из пластика, ПВХ, полиэтилена, которые отличаются высокой гибкостью. Однако они часто подвержены деформациям окружности, что сделает такой </w:t>
      </w:r>
      <w:hyperlink r:id="rId9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обруч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непригодным для использования.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Предотвратить это поможет: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F8E86A" wp14:editId="66F8E2B4">
            <wp:simplePos x="0" y="0"/>
            <wp:positionH relativeFrom="column">
              <wp:posOffset>5398076</wp:posOffset>
            </wp:positionH>
            <wp:positionV relativeFrom="paragraph">
              <wp:posOffset>-113428</wp:posOffset>
            </wp:positionV>
            <wp:extent cx="1264920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145" y="21421"/>
                <wp:lineTo x="21145" y="0"/>
                <wp:lineTo x="0" y="0"/>
              </wp:wrapPolygon>
            </wp:wrapThrough>
            <wp:docPr id="8" name="Рисунок 8" descr="http://r-gymnastics.com/sites/default/files/1/2012/11/25/chehol_dlya_obru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-gymnastics.com/sites/default/files/1/2012/11/25/chehol_dlya_obruc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Декоративная </w:t>
      </w:r>
      <w:hyperlink r:id="rId11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обмотка обруча</w:t>
        </w:r>
      </w:hyperlink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646C2">
        <w:rPr>
          <w:rFonts w:ascii="Arial" w:eastAsia="Times New Roman" w:hAnsi="Arial" w:cs="Arial"/>
          <w:sz w:val="24"/>
          <w:szCs w:val="24"/>
          <w:lang w:eastAsia="ru-RU"/>
        </w:rPr>
        <w:t>самоклеющейся</w:t>
      </w:r>
      <w:proofErr w:type="spellEnd"/>
      <w:r w:rsidRPr="00D646C2">
        <w:rPr>
          <w:rFonts w:ascii="Arial" w:eastAsia="Times New Roman" w:hAnsi="Arial" w:cs="Arial"/>
          <w:sz w:val="24"/>
          <w:szCs w:val="24"/>
          <w:lang w:eastAsia="ru-RU"/>
        </w:rPr>
        <w:t xml:space="preserve"> лентой и скотчем (заодно и необходимая масса предмета будет достигнута).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Хранение снаряда только в горизонтальном положении и желательно в чехле.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Внимательное отношение к температуре воздуха в помещении для хранения – как высокая, так и низкая температура очень быстро могут повредить материал.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Если есть возможность, обруч лучше приобретать бесшовный (цельнолитой). Этот вариант будет дороже, но такая конструкция дает больше гарантий, что предмет не треснет (а трещины как раз в месте стыка ― явление распространенное).</w:t>
      </w: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Мяч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-3234</wp:posOffset>
            </wp:positionH>
            <wp:positionV relativeFrom="paragraph">
              <wp:posOffset>118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7" name="Рисунок 7" descr="http://r-gymnastics.com/sites/default/files/1/2012/11/25/myac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-gymnastics.com/sites/default/files/1/2012/11/25/myach_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Мяч для художественной гимнастики также подвержен деформациям, для предотвращения которых нужно: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Всегда хранить его только в чехле (сумочке) из мягкой ткани – это поможет избежать случайных проколов и царапин, а также предупредить деформацию при изменении температуры.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7E5C3D6" wp14:editId="4496EDD1">
            <wp:simplePos x="0" y="0"/>
            <wp:positionH relativeFrom="column">
              <wp:posOffset>4930273</wp:posOffset>
            </wp:positionH>
            <wp:positionV relativeFrom="paragraph">
              <wp:posOffset>6128</wp:posOffset>
            </wp:positionV>
            <wp:extent cx="1903095" cy="1095375"/>
            <wp:effectExtent l="0" t="0" r="1905" b="9525"/>
            <wp:wrapThrough wrapText="bothSides">
              <wp:wrapPolygon edited="0">
                <wp:start x="0" y="0"/>
                <wp:lineTo x="0" y="21412"/>
                <wp:lineTo x="21405" y="21412"/>
                <wp:lineTo x="21405" y="0"/>
                <wp:lineTo x="0" y="0"/>
              </wp:wrapPolygon>
            </wp:wrapThrough>
            <wp:docPr id="6" name="Рисунок 6" descr="http://r-gymnastics.com/sites/default/files/1/2012/11/25/chehol_i_sumochkal_dlya_my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-gymnastics.com/sites/default/files/1/2012/11/25/chehol_i_sumochkal_dlya_myach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Не рекомендуется часто сдувать </w:t>
      </w:r>
      <w:hyperlink r:id="rId14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мяч</w:t>
        </w:r>
      </w:hyperlink>
      <w:r w:rsidRPr="00D646C2">
        <w:rPr>
          <w:rFonts w:ascii="Arial" w:eastAsia="Times New Roman" w:hAnsi="Arial" w:cs="Arial"/>
          <w:sz w:val="24"/>
          <w:szCs w:val="24"/>
          <w:lang w:eastAsia="ru-RU"/>
        </w:rPr>
        <w:t> даже при транспортировке – частое воздействие повреждает ниппель, при накачивании игла насоса должна смачиваться водой.</w:t>
      </w:r>
    </w:p>
    <w:p w:rsidR="00D646C2" w:rsidRPr="00D646C2" w:rsidRDefault="00D646C2" w:rsidP="00D646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При необходимости мяч можно мыть, но только с использованием мыльной пены и обязательным просушиванием.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Булавы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08BAD9C" wp14:editId="098FDF24">
            <wp:simplePos x="0" y="0"/>
            <wp:positionH relativeFrom="margin">
              <wp:align>right</wp:align>
            </wp:positionH>
            <wp:positionV relativeFrom="paragraph">
              <wp:posOffset>891156</wp:posOffset>
            </wp:positionV>
            <wp:extent cx="1903095" cy="808355"/>
            <wp:effectExtent l="0" t="0" r="1905" b="0"/>
            <wp:wrapThrough wrapText="bothSides">
              <wp:wrapPolygon edited="0">
                <wp:start x="0" y="0"/>
                <wp:lineTo x="0" y="20870"/>
                <wp:lineTo x="21405" y="20870"/>
                <wp:lineTo x="21405" y="0"/>
                <wp:lineTo x="0" y="0"/>
              </wp:wrapPolygon>
            </wp:wrapThrough>
            <wp:docPr id="4" name="Рисунок 4" descr="http://r-gymnastics.com/sites/default/files/1/2012/11/25/chehol_dlya_bula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-gymnastics.com/sites/default/files/1/2012/11/25/chehol_dlya_bulav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965E319" wp14:editId="44C5ED4E">
            <wp:simplePos x="0" y="0"/>
            <wp:positionH relativeFrom="column">
              <wp:posOffset>-3234</wp:posOffset>
            </wp:positionH>
            <wp:positionV relativeFrom="paragraph">
              <wp:posOffset>-1580</wp:posOffset>
            </wp:positionV>
            <wp:extent cx="1424940" cy="1392555"/>
            <wp:effectExtent l="0" t="0" r="3810" b="0"/>
            <wp:wrapThrough wrapText="bothSides">
              <wp:wrapPolygon edited="0">
                <wp:start x="0" y="0"/>
                <wp:lineTo x="0" y="21275"/>
                <wp:lineTo x="21369" y="21275"/>
                <wp:lineTo x="21369" y="0"/>
                <wp:lineTo x="0" y="0"/>
              </wp:wrapPolygon>
            </wp:wrapThrough>
            <wp:docPr id="5" name="Рисунок 5" descr="http://r-gymnastics.com/sites/default/files/1/2012/11/25/bul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-gymnastics.com/sites/default/files/1/2012/11/25/bulav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Используемые сегодня </w:t>
      </w:r>
      <w:hyperlink r:id="rId17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булавы</w:t>
        </w:r>
      </w:hyperlink>
      <w:r w:rsidRPr="00D646C2">
        <w:rPr>
          <w:rFonts w:ascii="Arial" w:eastAsia="Times New Roman" w:hAnsi="Arial" w:cs="Arial"/>
          <w:sz w:val="24"/>
          <w:szCs w:val="24"/>
          <w:lang w:eastAsia="ru-RU"/>
        </w:rPr>
        <w:t> изготавливаются из пластика или каучука (натурального или синтетического), поэтому достаточно часто могут ломаться даже при случайном падении. Именно поэтому во время тренировок рекомендуется использовать резиновые </w:t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булавы для художественной гимнастики.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Эксплуатация булав предусматривает: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Использование специального чехла.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 xml:space="preserve"> Обмотку и оклейку предметов </w:t>
      </w:r>
      <w:proofErr w:type="spellStart"/>
      <w:r w:rsidRPr="00D646C2">
        <w:rPr>
          <w:rFonts w:ascii="Arial" w:eastAsia="Times New Roman" w:hAnsi="Arial" w:cs="Arial"/>
          <w:sz w:val="24"/>
          <w:szCs w:val="24"/>
          <w:lang w:eastAsia="ru-RU"/>
        </w:rPr>
        <w:t>самоклеющейся</w:t>
      </w:r>
      <w:proofErr w:type="spellEnd"/>
      <w:r w:rsidRPr="00D646C2">
        <w:rPr>
          <w:rFonts w:ascii="Arial" w:eastAsia="Times New Roman" w:hAnsi="Arial" w:cs="Arial"/>
          <w:sz w:val="24"/>
          <w:szCs w:val="24"/>
          <w:lang w:eastAsia="ru-RU"/>
        </w:rPr>
        <w:t xml:space="preserve"> лентой.</w:t>
      </w: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Лента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-3234</wp:posOffset>
            </wp:positionH>
            <wp:positionV relativeFrom="paragraph">
              <wp:posOffset>-4711</wp:posOffset>
            </wp:positionV>
            <wp:extent cx="1903095" cy="1116330"/>
            <wp:effectExtent l="0" t="0" r="1905" b="7620"/>
            <wp:wrapThrough wrapText="bothSides">
              <wp:wrapPolygon edited="0">
                <wp:start x="0" y="0"/>
                <wp:lineTo x="0" y="21379"/>
                <wp:lineTo x="21405" y="21379"/>
                <wp:lineTo x="21405" y="0"/>
                <wp:lineTo x="0" y="0"/>
              </wp:wrapPolygon>
            </wp:wrapThrough>
            <wp:docPr id="3" name="Рисунок 3" descr="http://r-gymnastics.com/sites/default/files/1/2012/11/25/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-gymnastics.com/sites/default/files/1/2012/11/25/lent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Для продления срока службы </w:t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лента для художественной гимнастики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может стираться мягкими моющими средствами, а после этого обязательно крахмалиться и проглаживаться.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Перед выступлением для снятия статического электричества </w:t>
      </w:r>
      <w:hyperlink r:id="rId19" w:history="1">
        <w:r w:rsidRPr="00D646C2">
          <w:rPr>
            <w:rFonts w:ascii="Arial" w:eastAsia="Times New Roman" w:hAnsi="Arial" w:cs="Arial"/>
            <w:sz w:val="24"/>
            <w:szCs w:val="24"/>
            <w:lang w:eastAsia="ru-RU"/>
          </w:rPr>
          <w:t>лента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гимнастки обязательно должна по всей длине обрабатываться антистатиками.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Для окрашивания можно использовать только специальные анилиновые красители, которые закрепляются проглаживанием горячим утюгом через хлопчатобумажную ткань.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09567AB" wp14:editId="4EB6D826">
            <wp:simplePos x="0" y="0"/>
            <wp:positionH relativeFrom="column">
              <wp:posOffset>4259639</wp:posOffset>
            </wp:positionH>
            <wp:positionV relativeFrom="paragraph">
              <wp:posOffset>12006</wp:posOffset>
            </wp:positionV>
            <wp:extent cx="1424940" cy="659130"/>
            <wp:effectExtent l="0" t="0" r="3810" b="7620"/>
            <wp:wrapThrough wrapText="bothSides">
              <wp:wrapPolygon edited="0">
                <wp:start x="0" y="0"/>
                <wp:lineTo x="0" y="21225"/>
                <wp:lineTo x="21369" y="21225"/>
                <wp:lineTo x="21369" y="0"/>
                <wp:lineTo x="0" y="0"/>
              </wp:wrapPolygon>
            </wp:wrapThrough>
            <wp:docPr id="1" name="Рисунок 1" descr="http://r-gymnastics.com/sites/default/files/1/2012/11/25/chehol_dlya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-gymnastics.com/sites/default/files/1/2012/11/25/chehol_dlya_lenty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3C5E9C5" wp14:editId="4AA60B99">
            <wp:simplePos x="0" y="0"/>
            <wp:positionH relativeFrom="margin">
              <wp:align>right</wp:align>
            </wp:positionH>
            <wp:positionV relativeFrom="paragraph">
              <wp:posOffset>12316</wp:posOffset>
            </wp:positionV>
            <wp:extent cx="669925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0883" y="21238"/>
                <wp:lineTo x="20883" y="0"/>
                <wp:lineTo x="0" y="0"/>
              </wp:wrapPolygon>
            </wp:wrapThrough>
            <wp:docPr id="2" name="Рисунок 2" descr="http://r-gymnastics.com/sites/default/files/1/2012/11/25/futlyar_dlya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-gymnastics.com/sites/default/files/1/2012/11/25/futlyar_dlya_lent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Ленточки должны храниться в специальных чехлах или футлярах.</w:t>
      </w:r>
    </w:p>
    <w:p w:rsidR="00D646C2" w:rsidRPr="00D646C2" w:rsidRDefault="00D646C2" w:rsidP="00D64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Pr="00D646C2">
        <w:rPr>
          <w:rFonts w:ascii="Arial" w:eastAsia="Times New Roman" w:hAnsi="Arial" w:cs="Arial"/>
          <w:sz w:val="24"/>
          <w:szCs w:val="24"/>
          <w:lang w:eastAsia="ru-RU"/>
        </w:rPr>
        <w:t> Палочки для лент нужно перевозить в отдельных чехлах.</w:t>
      </w:r>
    </w:p>
    <w:p w:rsidR="00D646C2" w:rsidRPr="00D646C2" w:rsidRDefault="00D646C2" w:rsidP="00D646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6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0B0B" w:rsidRPr="00D646C2" w:rsidRDefault="00C80B0B">
      <w:pPr>
        <w:rPr>
          <w:rFonts w:ascii="Arial" w:hAnsi="Arial" w:cs="Arial"/>
          <w:sz w:val="24"/>
          <w:szCs w:val="24"/>
        </w:rPr>
      </w:pPr>
    </w:p>
    <w:sectPr w:rsidR="00C80B0B" w:rsidRPr="00D646C2" w:rsidSect="00D646C2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C2"/>
    <w:rsid w:val="00C80B0B"/>
    <w:rsid w:val="00D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82F4"/>
  <w15:chartTrackingRefBased/>
  <w15:docId w15:val="{AC8234C7-E093-4CBE-A6E2-BD9EA2BA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6C2"/>
    <w:rPr>
      <w:color w:val="0000FF"/>
      <w:u w:val="single"/>
    </w:rPr>
  </w:style>
  <w:style w:type="character" w:styleId="a5">
    <w:name w:val="Strong"/>
    <w:basedOn w:val="a0"/>
    <w:uiPriority w:val="22"/>
    <w:qFormat/>
    <w:rsid w:val="00D6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r-gymnastics.com/uprazhneniya-i-predmety-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-gymnastics.com/obmotka-obrucha-instruktsiya" TargetMode="External"/><Relationship Id="rId5" Type="http://schemas.openxmlformats.org/officeDocument/2006/relationships/hyperlink" Target="http://r-gymnastics.com/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r-gymnastics.com/uprazhneniya-i-predmety-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-gymnastics.com/uprazhneniya-i-predmety-0" TargetMode="External"/><Relationship Id="rId14" Type="http://schemas.openxmlformats.org/officeDocument/2006/relationships/hyperlink" Target="http://r-gymnastics.com/uprazhneniya-i-predmety-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2018-09-03T12:34:00Z</dcterms:created>
  <dcterms:modified xsi:type="dcterms:W3CDTF">2018-09-03T12:41:00Z</dcterms:modified>
</cp:coreProperties>
</file>